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C" w:rsidRPr="00192AF0" w:rsidRDefault="00E3521C" w:rsidP="007D476A">
      <w:pPr>
        <w:spacing w:after="0" w:line="240" w:lineRule="auto"/>
        <w:jc w:val="center"/>
        <w:rPr>
          <w:b/>
        </w:rPr>
      </w:pPr>
      <w:r>
        <w:rPr>
          <w:b/>
        </w:rPr>
        <w:t>Parental questionnaire for 6-month-old children</w:t>
      </w:r>
      <w:r w:rsidR="00E06018">
        <w:rPr>
          <w:b/>
        </w:rPr>
        <w:t xml:space="preserve"> </w:t>
      </w:r>
      <w:r w:rsidR="00E06018" w:rsidRPr="00E06018">
        <w:rPr>
          <w:b/>
        </w:rPr>
        <w:t>(</w:t>
      </w:r>
      <w:r w:rsidR="00E06018">
        <w:rPr>
          <w:b/>
        </w:rPr>
        <w:t>6</w:t>
      </w:r>
      <w:bookmarkStart w:id="0" w:name="_GoBack"/>
      <w:bookmarkEnd w:id="0"/>
      <w:r w:rsidR="00E06018" w:rsidRPr="00E06018">
        <w:rPr>
          <w:b/>
        </w:rPr>
        <w:t xml:space="preserve"> hónapos életkorban)</w:t>
      </w: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046"/>
        <w:gridCol w:w="998"/>
        <w:gridCol w:w="1131"/>
        <w:gridCol w:w="1092"/>
        <w:gridCol w:w="1061"/>
        <w:gridCol w:w="1610"/>
      </w:tblGrid>
      <w:tr w:rsidR="005E420D" w:rsidTr="005E420D">
        <w:trPr>
          <w:trHeight w:val="283"/>
        </w:trPr>
        <w:tc>
          <w:tcPr>
            <w:tcW w:w="8046" w:type="dxa"/>
          </w:tcPr>
          <w:p w:rsidR="005E420D" w:rsidRPr="00E00C96" w:rsidRDefault="005E420D" w:rsidP="00F34F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Yes, regularly (often, mostly)</w:t>
            </w:r>
          </w:p>
        </w:tc>
        <w:tc>
          <w:tcPr>
            <w:tcW w:w="1131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Seldom (rarely, occasionally)</w:t>
            </w:r>
          </w:p>
        </w:tc>
        <w:tc>
          <w:tcPr>
            <w:tcW w:w="1092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yet</w:t>
            </w:r>
          </w:p>
        </w:tc>
        <w:tc>
          <w:tcPr>
            <w:tcW w:w="1061" w:type="dxa"/>
            <w:vMerge w:val="restart"/>
            <w:tcBorders>
              <w:top w:val="nil"/>
              <w:bottom w:val="nil"/>
            </w:tcBorders>
          </w:tcPr>
          <w:p w:rsidR="005E420D" w:rsidRPr="00E00C96" w:rsidRDefault="005E420D" w:rsidP="00F34F76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5E420D" w:rsidRPr="00E00C96" w:rsidRDefault="005E420D" w:rsidP="00D8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health visitor's experience: Experienced/Did not experience</w:t>
            </w: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 1. Does he/she turn in both directions? (From belly to back, and from back to belly, that is.)   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2. Does he/she play with both feet when lying on the back? (E.g. Does he/she catch them and even put them in the mouth?)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>3. Lying prone, with chest lifted, can he/she support him/herself with both arms and straight elbows, together with both hand and palms open?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4. Does he/she try to find the source of sounds by turning in their direction?   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5.  Does he/she spot even tiny objects (e.g. fluff, morsel, raisin etc.)? (E.g. does he/she watch and observe them, touch with hand or grab them?)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6. Can he/she be involved in dialogue-like sound utterances? (In other words, does he/she listen and make sounds when the adult stops speaking?)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7. Does he/she take over a toy from one hand and grabs with the other?   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8. Does he/she pick up in the hand the object he/she has dropped?   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9. Does he/she tend to take off the kerchief covering his/her head when he/she is playing peek-a-boo?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10. Does he/she enjoy playing together with an adult by smiling or laughing?  (E.g. when playing peek-a-boo.)   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t xml:space="preserve">11. Does he/she enjoy making sounds? Does he/she tend to play with his/her own </w:t>
            </w:r>
            <w:r>
              <w:lastRenderedPageBreak/>
              <w:t xml:space="preserve">voice for a longer time? (In other words, he/she produces melodies of syllables consisting of 2 or 3 different sounds, such as mba, abuu, pamaa, adu geee, gaaaj habuuu at a different volume etc.)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F34F76">
            <w:r>
              <w:lastRenderedPageBreak/>
              <w:t>12. Does he/she understand the parent's invitation accompanied by some gesture? (E.g. in response to saying and showing ”come” the child suddenly turns his/her body and arms towards the adult.)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</w:tbl>
    <w:p w:rsidR="00E3521C" w:rsidRPr="00E66A07" w:rsidRDefault="00E3521C" w:rsidP="00E3521C">
      <w:pPr>
        <w:rPr>
          <w:sz w:val="20"/>
          <w:szCs w:val="20"/>
        </w:rPr>
      </w:pPr>
    </w:p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E00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7D47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6C47F7" w:rsidP="007D476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7D476A" w:rsidP="007D476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</w:rPr>
    </w:pPr>
  </w:p>
  <w:p w:rsidR="006C47F7" w:rsidRPr="007D476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Date:............. day .......................... month ........ year </w:t>
    </w:r>
  </w:p>
  <w:p w:rsidR="006C47F7" w:rsidRPr="007D476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7D476A" w:rsidRDefault="005D10CC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Place of stamp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district health visitor's signature </w:t>
    </w:r>
  </w:p>
  <w:p w:rsidR="006C47F7" w:rsidRPr="007D476A" w:rsidRDefault="006C47F7" w:rsidP="006C47F7">
    <w:pPr>
      <w:pStyle w:val="llb"/>
    </w:pPr>
    <w:r>
      <w:rPr>
        <w:rFonts w:ascii="Times New Roman" w:hAnsi="Times New Roman"/>
      </w:rPr>
      <w:t xml:space="preserve">             Basic registration number:..........................................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7D47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7D47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7D476A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Address:......................................................................................................Phone: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7D476A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...............................................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E25ED" w:rsidRPr="007D476A" w:rsidRDefault="007D476A" w:rsidP="003E25ED">
    <w:pPr>
      <w:pStyle w:val="lfej"/>
    </w:pPr>
    <w:r>
      <w:rPr>
        <w:rFonts w:ascii="Times New Roman" w:hAnsi="Times New Roman"/>
        <w:b/>
        <w:bCs/>
      </w:rPr>
      <w:t>Mother's name:…………………………………..Place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7D47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92AF0"/>
    <w:rsid w:val="001D70A1"/>
    <w:rsid w:val="003E25ED"/>
    <w:rsid w:val="00557A13"/>
    <w:rsid w:val="005D10CC"/>
    <w:rsid w:val="005E420D"/>
    <w:rsid w:val="006C47F7"/>
    <w:rsid w:val="007353A8"/>
    <w:rsid w:val="007D476A"/>
    <w:rsid w:val="00814D96"/>
    <w:rsid w:val="00885111"/>
    <w:rsid w:val="00A10280"/>
    <w:rsid w:val="00A6042F"/>
    <w:rsid w:val="00B3600E"/>
    <w:rsid w:val="00B94CBF"/>
    <w:rsid w:val="00BB04D4"/>
    <w:rsid w:val="00D2079C"/>
    <w:rsid w:val="00D23F11"/>
    <w:rsid w:val="00D8125D"/>
    <w:rsid w:val="00E00C96"/>
    <w:rsid w:val="00E06018"/>
    <w:rsid w:val="00E3521C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11</cp:revision>
  <dcterms:created xsi:type="dcterms:W3CDTF">2017-01-25T10:56:00Z</dcterms:created>
  <dcterms:modified xsi:type="dcterms:W3CDTF">2018-06-25T11:44:00Z</dcterms:modified>
</cp:coreProperties>
</file>